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332" w:rsidRDefault="00901332" w:rsidP="00901332">
      <w:r w:rsidRPr="009B789B">
        <w:t>http://www.wk-rh.fr/preview/BeDhHlEjDiJnIoHkKoHl/presse/cce/les_cahiers_lamy_du_ce_2014/attaques_en_regle_contre_le_forfait_jours__resistera-t-il_au_temps_qui_passe_</w:t>
      </w:r>
    </w:p>
    <w:p w:rsidR="00901332" w:rsidRDefault="00901332"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t>Par ailleurs, de nombreuses entreprises font l’impasse sur les conventions individuelles destinées à aménager le volume d’activité au nombre de jours travaillés.</w:t>
      </w:r>
    </w:p>
    <w:p w:rsidR="00901332" w:rsidRDefault="00901332"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576768" w:rsidRDefault="00576768"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5" w:history="1">
        <w:r w:rsidRPr="00C10581">
          <w:rPr>
            <w:rStyle w:val="Lienhypertexte"/>
            <w:rFonts w:ascii="Times New Roman" w:eastAsia="Times New Roman" w:hAnsi="Times New Roman" w:cs="Times New Roman"/>
            <w:b/>
            <w:bCs/>
            <w:kern w:val="36"/>
            <w:sz w:val="48"/>
            <w:szCs w:val="48"/>
            <w:lang w:eastAsia="fr-FR"/>
          </w:rPr>
          <w:t>http://www.village-justice.com/articles/Cadres-forfait-attention-regles,14342.html</w:t>
        </w:r>
      </w:hyperlink>
    </w:p>
    <w:p w:rsidR="00576768" w:rsidRDefault="00EC5DAF"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6" w:history="1">
        <w:r w:rsidRPr="00C10581">
          <w:rPr>
            <w:rStyle w:val="Lienhypertexte"/>
            <w:rFonts w:ascii="Times New Roman" w:eastAsia="Times New Roman" w:hAnsi="Times New Roman" w:cs="Times New Roman"/>
            <w:b/>
            <w:bCs/>
            <w:kern w:val="36"/>
            <w:sz w:val="48"/>
            <w:szCs w:val="48"/>
            <w:lang w:eastAsia="fr-FR"/>
          </w:rPr>
          <w:t>http://www1.editions-tissot.fr/actualite/droit-du-travail-article.aspx?secteur=PME&amp;id_art=3433&amp;titre=Forfait+jours+en+l%E2%80%99absence+de+convention+individuelle+de+forfait+%3A+attention+travail+dissimul%C3%A9</w:t>
        </w:r>
      </w:hyperlink>
      <w:r w:rsidR="005E12CD" w:rsidRPr="005E12CD">
        <w:rPr>
          <w:rFonts w:ascii="Times New Roman" w:eastAsia="Times New Roman" w:hAnsi="Times New Roman" w:cs="Times New Roman"/>
          <w:b/>
          <w:bCs/>
          <w:kern w:val="36"/>
          <w:sz w:val="48"/>
          <w:szCs w:val="48"/>
          <w:lang w:eastAsia="fr-FR"/>
        </w:rPr>
        <w:t>+!</w:t>
      </w:r>
    </w:p>
    <w:p w:rsidR="00EC5DAF" w:rsidRDefault="00EC5DAF"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EC5DAF">
        <w:rPr>
          <w:rFonts w:ascii="Times New Roman" w:eastAsia="Times New Roman" w:hAnsi="Times New Roman" w:cs="Times New Roman"/>
          <w:b/>
          <w:bCs/>
          <w:kern w:val="36"/>
          <w:sz w:val="48"/>
          <w:szCs w:val="48"/>
          <w:lang w:eastAsia="fr-FR"/>
        </w:rPr>
        <w:t>http://business.lesechos.fr/directions-ressources-humaines/partenaire/forfait-jours-vers-un-risque-de-condamnation-pour-travail-dissimule-58992.php</w:t>
      </w:r>
    </w:p>
    <w:p w:rsidR="005E12CD" w:rsidRDefault="005E12CD"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C5DAF" w:rsidRDefault="00EC5DAF"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C5DAF" w:rsidRDefault="00EC5DAF"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C5DAF" w:rsidRDefault="00EC5DAF" w:rsidP="00EC5DAF">
      <w:pPr>
        <w:pStyle w:val="Titre3"/>
      </w:pPr>
      <w:r>
        <w:lastRenderedPageBreak/>
        <w:t>L’absence de convention individuelle de forfait en jours peut avoir de lourdes conséquences.</w:t>
      </w:r>
    </w:p>
    <w:p w:rsidR="00EC5DAF" w:rsidRDefault="00EC5DAF" w:rsidP="00EC5DAF">
      <w:pPr>
        <w:pStyle w:val="lastp"/>
      </w:pPr>
      <w:r>
        <w:t>Dans un arrêt du 28 février 2012, la Cour de cassation a jugé que « la cour d'appel, qui a constaté que l'employeur avait appliqué au salarié le système du forfait en jours sans qu'ait été conclue une convention de forfait en jours et relevé que ce cadre travaillait régulièrement plus de dix heures par jour, a fait ressortir le caractère intentionnel de l'absence de la mention, sur les bulletins de salaire, de toutes les heures accomplies au-delà de la durée légale » (</w:t>
      </w:r>
      <w:proofErr w:type="spellStart"/>
      <w:r>
        <w:t>Cass</w:t>
      </w:r>
      <w:proofErr w:type="spellEnd"/>
      <w:r>
        <w:t>. soc. 28 février 2012, n° 10-27.839).</w:t>
      </w:r>
      <w:r>
        <w:br/>
      </w:r>
      <w:r>
        <w:br/>
        <w:t>La Cour de cassation a confirmé cette analyse aux termes de deux arrêts rendus le 27 juin 2012 (</w:t>
      </w:r>
      <w:proofErr w:type="spellStart"/>
      <w:r>
        <w:t>Cass</w:t>
      </w:r>
      <w:proofErr w:type="spellEnd"/>
      <w:r>
        <w:t>. Soc. 27 juin 2012, n°11-10.491) et le 27 novembre 2013 (</w:t>
      </w:r>
      <w:proofErr w:type="spellStart"/>
      <w:r>
        <w:t>Cass</w:t>
      </w:r>
      <w:proofErr w:type="spellEnd"/>
      <w:r>
        <w:t>. Soc. 27 novembre 2013, n°12-20904) dans des hypothèses où aucune convention individuelle de forfait en jours n’avait été signée.</w:t>
      </w:r>
      <w:r>
        <w:br/>
      </w:r>
      <w:r>
        <w:br/>
        <w:t>L’idée qui sous-tend cette analyse est qu’en l’absence de toute convention individuelle de forfait en jours, les juges du fond pouvaient retenir l’intention de l’employeur de dissimuler le nombre d’heures réellement accomplies par le salarié. Il n’en demeure pas moins que les juges du fond qui apprécient souverainement pour chaque cas d’espèce, cet élément intentionnel, pourront être convaincus du contraire au vu d’autres circonstances.</w:t>
      </w:r>
    </w:p>
    <w:p w:rsidR="00EC5DAF" w:rsidRDefault="00EC5DAF" w:rsidP="00EC5DAF">
      <w:r>
        <w:br/>
        <w:t>En savoir plus sur http://business.lesechos.fr/directions-ressources-humaines/partenaire/forfait-jours-vers-un-risque-de-condamnation-pour-travail-dissimule-58992.php?ODltrOB73zpjkjgA.99</w:t>
      </w:r>
    </w:p>
    <w:p w:rsidR="00EC5DAF" w:rsidRDefault="00EC5DAF"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0" w:name="_GoBack"/>
      <w:bookmarkEnd w:id="0"/>
    </w:p>
    <w:p w:rsidR="00EC5DAF" w:rsidRDefault="00EC5DAF"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0A5C05" w:rsidRPr="000A5C05" w:rsidRDefault="000A5C05" w:rsidP="000A5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A5C05">
        <w:rPr>
          <w:rFonts w:ascii="Times New Roman" w:eastAsia="Times New Roman" w:hAnsi="Times New Roman" w:cs="Times New Roman"/>
          <w:b/>
          <w:bCs/>
          <w:kern w:val="36"/>
          <w:sz w:val="48"/>
          <w:szCs w:val="48"/>
          <w:lang w:eastAsia="fr-FR"/>
        </w:rPr>
        <w:t xml:space="preserve">Peut-on imposer des heures de présence à </w:t>
      </w:r>
      <w:proofErr w:type="gramStart"/>
      <w:r w:rsidRPr="000A5C05">
        <w:rPr>
          <w:rFonts w:ascii="Times New Roman" w:eastAsia="Times New Roman" w:hAnsi="Times New Roman" w:cs="Times New Roman"/>
          <w:b/>
          <w:bCs/>
          <w:kern w:val="36"/>
          <w:sz w:val="48"/>
          <w:szCs w:val="48"/>
          <w:lang w:eastAsia="fr-FR"/>
        </w:rPr>
        <w:t>un</w:t>
      </w:r>
      <w:proofErr w:type="gramEnd"/>
      <w:r w:rsidRPr="000A5C05">
        <w:rPr>
          <w:rFonts w:ascii="Times New Roman" w:eastAsia="Times New Roman" w:hAnsi="Times New Roman" w:cs="Times New Roman"/>
          <w:b/>
          <w:bCs/>
          <w:kern w:val="36"/>
          <w:sz w:val="48"/>
          <w:szCs w:val="48"/>
          <w:lang w:eastAsia="fr-FR"/>
        </w:rPr>
        <w:t xml:space="preserve"> cadre en forfait jours ?</w:t>
      </w:r>
    </w:p>
    <w:p w:rsidR="000A5C05" w:rsidRDefault="000A5C05" w:rsidP="000A5C05">
      <w:pPr>
        <w:spacing w:before="100" w:beforeAutospacing="1" w:after="100" w:afterAutospacing="1" w:line="240" w:lineRule="auto"/>
        <w:rPr>
          <w:rFonts w:ascii="Times New Roman" w:eastAsia="Times New Roman" w:hAnsi="Times New Roman" w:cs="Times New Roman"/>
          <w:color w:val="0B333C"/>
          <w:sz w:val="24"/>
          <w:szCs w:val="24"/>
          <w:lang w:eastAsia="fr-FR"/>
        </w:rPr>
      </w:pPr>
    </w:p>
    <w:p w:rsidR="000A5C05" w:rsidRPr="000A5C05" w:rsidRDefault="000A5C05" w:rsidP="000A5C05">
      <w:pPr>
        <w:spacing w:before="100" w:beforeAutospacing="1" w:after="100" w:afterAutospacing="1" w:line="240" w:lineRule="auto"/>
        <w:rPr>
          <w:rFonts w:ascii="Times New Roman" w:eastAsia="Times New Roman" w:hAnsi="Times New Roman" w:cs="Times New Roman"/>
          <w:sz w:val="24"/>
          <w:szCs w:val="24"/>
          <w:lang w:eastAsia="fr-FR"/>
        </w:rPr>
      </w:pPr>
      <w:r w:rsidRPr="000A5C05">
        <w:rPr>
          <w:rFonts w:ascii="Times New Roman" w:eastAsia="Times New Roman" w:hAnsi="Times New Roman" w:cs="Times New Roman"/>
          <w:color w:val="0B333C"/>
          <w:sz w:val="24"/>
          <w:szCs w:val="24"/>
          <w:lang w:eastAsia="fr-FR"/>
        </w:rPr>
        <w:t>La Cour de Cassation a déjà affirmé qu'</w:t>
      </w:r>
      <w:hyperlink r:id="rId7" w:history="1">
        <w:r w:rsidRPr="000A5C05">
          <w:rPr>
            <w:rFonts w:ascii="Times New Roman" w:eastAsia="Times New Roman" w:hAnsi="Times New Roman" w:cs="Times New Roman"/>
            <w:color w:val="0000FF"/>
            <w:sz w:val="24"/>
            <w:szCs w:val="24"/>
            <w:u w:val="single"/>
            <w:lang w:eastAsia="fr-FR"/>
          </w:rPr>
          <w:t>u</w:t>
        </w:r>
      </w:hyperlink>
      <w:hyperlink r:id="rId8" w:history="1">
        <w:r w:rsidRPr="000A5C05">
          <w:rPr>
            <w:rFonts w:ascii="Times New Roman" w:eastAsia="Times New Roman" w:hAnsi="Times New Roman" w:cs="Times New Roman"/>
            <w:b/>
            <w:bCs/>
            <w:color w:val="0000FF"/>
            <w:sz w:val="24"/>
            <w:szCs w:val="24"/>
            <w:u w:val="single"/>
            <w:lang w:eastAsia="fr-FR"/>
          </w:rPr>
          <w:t>n salarié qui n'est pas maître de son emploi du temps, ne peut pas être rémunéré au forfait jours.</w:t>
        </w:r>
      </w:hyperlink>
    </w:p>
    <w:p w:rsidR="000A5C05" w:rsidRPr="000A5C05" w:rsidRDefault="000A5C05" w:rsidP="000A5C05">
      <w:pPr>
        <w:spacing w:before="100" w:beforeAutospacing="1" w:after="100" w:afterAutospacing="1" w:line="240" w:lineRule="auto"/>
        <w:rPr>
          <w:rFonts w:ascii="Times New Roman" w:eastAsia="Times New Roman" w:hAnsi="Times New Roman" w:cs="Times New Roman"/>
          <w:sz w:val="24"/>
          <w:szCs w:val="24"/>
          <w:lang w:eastAsia="fr-FR"/>
        </w:rPr>
      </w:pPr>
      <w:r w:rsidRPr="000A5C05">
        <w:rPr>
          <w:rFonts w:ascii="Times New Roman" w:eastAsia="Times New Roman" w:hAnsi="Times New Roman" w:cs="Times New Roman"/>
          <w:b/>
          <w:bCs/>
          <w:color w:val="0B333C"/>
          <w:sz w:val="24"/>
          <w:szCs w:val="24"/>
          <w:lang w:eastAsia="fr-FR"/>
        </w:rPr>
        <w:t>Cela signifie que le cadre autonome ne peut se voir imposer des horaires de travail prédéterminés et donc un planning avec des horaires de présence.</w:t>
      </w:r>
    </w:p>
    <w:p w:rsidR="000A5C05" w:rsidRPr="000A5C05" w:rsidRDefault="000A5C05" w:rsidP="000A5C05">
      <w:pPr>
        <w:spacing w:before="100" w:beforeAutospacing="1" w:after="100" w:afterAutospacing="1" w:line="240" w:lineRule="auto"/>
        <w:rPr>
          <w:rFonts w:ascii="Times New Roman" w:eastAsia="Times New Roman" w:hAnsi="Times New Roman" w:cs="Times New Roman"/>
          <w:sz w:val="24"/>
          <w:szCs w:val="24"/>
          <w:lang w:eastAsia="fr-FR"/>
        </w:rPr>
      </w:pPr>
      <w:r w:rsidRPr="000A5C05">
        <w:rPr>
          <w:rFonts w:ascii="Times New Roman" w:eastAsia="Times New Roman" w:hAnsi="Times New Roman" w:cs="Times New Roman"/>
          <w:color w:val="0B333C"/>
          <w:sz w:val="24"/>
          <w:szCs w:val="24"/>
          <w:lang w:eastAsia="fr-FR"/>
        </w:rPr>
        <w:t>La Haute juridiction vient de réaffirmer cette position de manière très tranchée par l'attendu suivant : "l</w:t>
      </w:r>
      <w:r w:rsidRPr="000A5C05">
        <w:rPr>
          <w:rFonts w:ascii="Times New Roman" w:eastAsia="Times New Roman" w:hAnsi="Times New Roman" w:cs="Times New Roman"/>
          <w:i/>
          <w:iCs/>
          <w:color w:val="0B333C"/>
          <w:sz w:val="24"/>
          <w:szCs w:val="24"/>
          <w:lang w:eastAsia="fr-FR"/>
        </w:rPr>
        <w:t xml:space="preserve">es salariés MCD MAS étaient </w:t>
      </w:r>
      <w:r w:rsidRPr="000A5C05">
        <w:rPr>
          <w:rFonts w:ascii="Times New Roman" w:eastAsia="Times New Roman" w:hAnsi="Times New Roman" w:cs="Times New Roman"/>
          <w:i/>
          <w:iCs/>
          <w:color w:val="0B333C"/>
          <w:sz w:val="24"/>
          <w:szCs w:val="24"/>
          <w:u w:val="single"/>
          <w:lang w:eastAsia="fr-FR"/>
        </w:rPr>
        <w:t xml:space="preserve">intégrés dans les plannings imposant leur présence </w:t>
      </w:r>
      <w:r w:rsidRPr="000A5C05">
        <w:rPr>
          <w:rFonts w:ascii="Times New Roman" w:eastAsia="Times New Roman" w:hAnsi="Times New Roman" w:cs="Times New Roman"/>
          <w:i/>
          <w:iCs/>
          <w:color w:val="0B333C"/>
          <w:sz w:val="24"/>
          <w:szCs w:val="24"/>
          <w:lang w:eastAsia="fr-FR"/>
        </w:rPr>
        <w:t xml:space="preserve">au sein des salles de jeux, ce qui </w:t>
      </w:r>
      <w:r w:rsidRPr="000A5C05">
        <w:rPr>
          <w:rFonts w:ascii="Times New Roman" w:eastAsia="Times New Roman" w:hAnsi="Times New Roman" w:cs="Times New Roman"/>
          <w:b/>
          <w:bCs/>
          <w:i/>
          <w:iCs/>
          <w:color w:val="0B333C"/>
          <w:sz w:val="24"/>
          <w:szCs w:val="24"/>
          <w:lang w:eastAsia="fr-FR"/>
        </w:rPr>
        <w:t>était antinomique avec la notion de cadre autonome</w:t>
      </w:r>
      <w:r w:rsidRPr="000A5C05">
        <w:rPr>
          <w:rFonts w:ascii="Times New Roman" w:eastAsia="Times New Roman" w:hAnsi="Times New Roman" w:cs="Times New Roman"/>
          <w:i/>
          <w:iCs/>
          <w:color w:val="0B333C"/>
          <w:sz w:val="24"/>
          <w:szCs w:val="24"/>
          <w:lang w:eastAsia="fr-FR"/>
        </w:rPr>
        <w:t>.</w:t>
      </w:r>
      <w:r w:rsidRPr="000A5C05">
        <w:rPr>
          <w:rFonts w:ascii="Times New Roman" w:eastAsia="Times New Roman" w:hAnsi="Times New Roman" w:cs="Times New Roman"/>
          <w:color w:val="0B333C"/>
          <w:sz w:val="24"/>
          <w:szCs w:val="24"/>
          <w:lang w:eastAsia="fr-FR"/>
        </w:rPr>
        <w:t>"(</w:t>
      </w:r>
      <w:hyperlink r:id="rId9" w:history="1">
        <w:r w:rsidRPr="000A5C05">
          <w:rPr>
            <w:rFonts w:ascii="Times New Roman" w:eastAsia="Times New Roman" w:hAnsi="Times New Roman" w:cs="Times New Roman"/>
            <w:color w:val="0000FF"/>
            <w:sz w:val="24"/>
            <w:szCs w:val="24"/>
            <w:u w:val="single"/>
            <w:lang w:eastAsia="fr-FR"/>
          </w:rPr>
          <w:t>Cour de cassation, civile, Chambre sociale, 23 janvier 2013, 11-12.323 11-12.324 11-12.325 11-12.326 11-12.327 11-12.328, Inédit</w:t>
        </w:r>
      </w:hyperlink>
      <w:r w:rsidRPr="000A5C05">
        <w:rPr>
          <w:rFonts w:ascii="Times New Roman" w:eastAsia="Times New Roman" w:hAnsi="Times New Roman" w:cs="Times New Roman"/>
          <w:color w:val="0B333C"/>
          <w:sz w:val="24"/>
          <w:szCs w:val="24"/>
          <w:lang w:eastAsia="fr-FR"/>
        </w:rPr>
        <w:t>).</w:t>
      </w:r>
    </w:p>
    <w:p w:rsidR="000A5C05" w:rsidRPr="000A5C05" w:rsidRDefault="000A5C05" w:rsidP="000A5C05">
      <w:pPr>
        <w:spacing w:before="100" w:beforeAutospacing="1" w:after="100" w:afterAutospacing="1" w:line="240" w:lineRule="auto"/>
        <w:rPr>
          <w:rFonts w:ascii="Times New Roman" w:eastAsia="Times New Roman" w:hAnsi="Times New Roman" w:cs="Times New Roman"/>
          <w:sz w:val="24"/>
          <w:szCs w:val="24"/>
          <w:lang w:eastAsia="fr-FR"/>
        </w:rPr>
      </w:pPr>
      <w:r w:rsidRPr="000A5C05">
        <w:rPr>
          <w:rFonts w:ascii="Times New Roman" w:eastAsia="Times New Roman" w:hAnsi="Times New Roman" w:cs="Times New Roman"/>
          <w:color w:val="0B333C"/>
          <w:sz w:val="24"/>
          <w:szCs w:val="24"/>
          <w:lang w:eastAsia="fr-FR"/>
        </w:rPr>
        <w:t>En d'autres termes:</w:t>
      </w:r>
    </w:p>
    <w:p w:rsidR="000A5C05" w:rsidRPr="000A5C05" w:rsidRDefault="000A5C05" w:rsidP="000A5C0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A5C05">
        <w:rPr>
          <w:rFonts w:ascii="Times New Roman" w:eastAsia="Times New Roman" w:hAnsi="Times New Roman" w:cs="Times New Roman"/>
          <w:color w:val="0B333C"/>
          <w:sz w:val="24"/>
          <w:szCs w:val="24"/>
          <w:lang w:eastAsia="fr-FR"/>
        </w:rPr>
        <w:lastRenderedPageBreak/>
        <w:t>si le c</w:t>
      </w:r>
      <w:r w:rsidRPr="000A5C05">
        <w:rPr>
          <w:rFonts w:ascii="Times New Roman" w:eastAsia="Times New Roman" w:hAnsi="Times New Roman" w:cs="Times New Roman"/>
          <w:b/>
          <w:bCs/>
          <w:color w:val="0B333C"/>
          <w:sz w:val="24"/>
          <w:szCs w:val="24"/>
          <w:lang w:eastAsia="fr-FR"/>
        </w:rPr>
        <w:t>adre est autonome</w:t>
      </w:r>
      <w:r w:rsidRPr="000A5C05">
        <w:rPr>
          <w:rFonts w:ascii="Times New Roman" w:eastAsia="Times New Roman" w:hAnsi="Times New Roman" w:cs="Times New Roman"/>
          <w:color w:val="0B333C"/>
          <w:sz w:val="24"/>
          <w:szCs w:val="24"/>
          <w:lang w:eastAsia="fr-FR"/>
        </w:rPr>
        <w:t xml:space="preserve">, il est </w:t>
      </w:r>
      <w:r w:rsidRPr="000A5C05">
        <w:rPr>
          <w:rFonts w:ascii="Times New Roman" w:eastAsia="Times New Roman" w:hAnsi="Times New Roman" w:cs="Times New Roman"/>
          <w:b/>
          <w:bCs/>
          <w:color w:val="0B333C"/>
          <w:sz w:val="24"/>
          <w:szCs w:val="24"/>
          <w:lang w:eastAsia="fr-FR"/>
        </w:rPr>
        <w:t>libre de l'organisation</w:t>
      </w:r>
      <w:r w:rsidRPr="000A5C05">
        <w:rPr>
          <w:rFonts w:ascii="Times New Roman" w:eastAsia="Times New Roman" w:hAnsi="Times New Roman" w:cs="Times New Roman"/>
          <w:color w:val="0B333C"/>
          <w:sz w:val="24"/>
          <w:szCs w:val="24"/>
          <w:lang w:eastAsia="fr-FR"/>
        </w:rPr>
        <w:t xml:space="preserve"> de son temps, sans planning de présence obligatoire.</w:t>
      </w:r>
    </w:p>
    <w:p w:rsidR="000A5C05" w:rsidRPr="000A5C05" w:rsidRDefault="000A5C05" w:rsidP="000A5C0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A5C05">
        <w:rPr>
          <w:rFonts w:ascii="Times New Roman" w:eastAsia="Times New Roman" w:hAnsi="Times New Roman" w:cs="Times New Roman"/>
          <w:sz w:val="24"/>
          <w:szCs w:val="24"/>
          <w:lang w:eastAsia="fr-FR"/>
        </w:rPr>
        <w:t> </w:t>
      </w:r>
      <w:r w:rsidRPr="000A5C05">
        <w:rPr>
          <w:rFonts w:ascii="Times New Roman" w:eastAsia="Times New Roman" w:hAnsi="Times New Roman" w:cs="Times New Roman"/>
          <w:color w:val="0B333C"/>
          <w:sz w:val="24"/>
          <w:szCs w:val="24"/>
          <w:lang w:eastAsia="fr-FR"/>
        </w:rPr>
        <w:t xml:space="preserve">si le cadre doit respecter un planning de présence, </w:t>
      </w:r>
      <w:r w:rsidRPr="000A5C05">
        <w:rPr>
          <w:rFonts w:ascii="Times New Roman" w:eastAsia="Times New Roman" w:hAnsi="Times New Roman" w:cs="Times New Roman"/>
          <w:b/>
          <w:bCs/>
          <w:color w:val="0B333C"/>
          <w:sz w:val="24"/>
          <w:szCs w:val="24"/>
          <w:u w:val="single"/>
          <w:lang w:eastAsia="fr-FR"/>
        </w:rPr>
        <w:t xml:space="preserve">c'est un cadre intégré et donc </w:t>
      </w:r>
      <w:r w:rsidRPr="000A5C05">
        <w:rPr>
          <w:rFonts w:ascii="Times New Roman" w:eastAsia="Times New Roman" w:hAnsi="Times New Roman" w:cs="Times New Roman"/>
          <w:color w:val="0B333C"/>
          <w:sz w:val="24"/>
          <w:szCs w:val="24"/>
          <w:lang w:eastAsia="fr-FR"/>
        </w:rPr>
        <w:t xml:space="preserve">soumis </w:t>
      </w:r>
      <w:r w:rsidRPr="000A5C05">
        <w:rPr>
          <w:rFonts w:ascii="Times New Roman" w:eastAsia="Times New Roman" w:hAnsi="Times New Roman" w:cs="Times New Roman"/>
          <w:b/>
          <w:bCs/>
          <w:color w:val="0B333C"/>
          <w:sz w:val="24"/>
          <w:szCs w:val="24"/>
          <w:lang w:eastAsia="fr-FR"/>
        </w:rPr>
        <w:t>à l'horaire légal et ses heures supplémentaires devront être payées</w:t>
      </w:r>
    </w:p>
    <w:p w:rsidR="00325B9B" w:rsidRDefault="00325B9B"/>
    <w:p w:rsidR="000A5C05" w:rsidRDefault="00EC5DAF">
      <w:hyperlink r:id="rId10" w:history="1">
        <w:r w:rsidR="000A5C05" w:rsidRPr="00D221DE">
          <w:rPr>
            <w:rStyle w:val="Lienhypertexte"/>
          </w:rPr>
          <w:t>http://business.lesechos.fr/directions-ressources-humaines/partenaire/les-cadres-au-forfait-jours-autonomes-mais-responsables-9560.php</w:t>
        </w:r>
      </w:hyperlink>
    </w:p>
    <w:p w:rsidR="000A5C05" w:rsidRDefault="000A5C05"/>
    <w:p w:rsidR="001E762C" w:rsidRDefault="001E762C" w:rsidP="001E762C">
      <w:pPr>
        <w:pStyle w:val="NormalWeb"/>
      </w:pPr>
      <w:r>
        <w:t>La question de la protection de la correspondance personnelle des salariés s’est fréquemment posée ces dix dernières années, du fait du développement des courriers électroniques. </w:t>
      </w:r>
    </w:p>
    <w:p w:rsidR="001E762C" w:rsidRDefault="001E762C" w:rsidP="001E762C">
      <w:pPr>
        <w:pStyle w:val="Titre2"/>
      </w:pPr>
      <w:r>
        <w:rPr>
          <w:rStyle w:val="lev"/>
          <w:b w:val="0"/>
          <w:bCs w:val="0"/>
        </w:rPr>
        <w:t>Le droit au respect de la vie privée</w:t>
      </w:r>
    </w:p>
    <w:p w:rsidR="001E762C" w:rsidRDefault="001E762C" w:rsidP="001E762C">
      <w:pPr>
        <w:pStyle w:val="NormalWeb"/>
      </w:pPr>
      <w:r>
        <w:t>La Cour de cassation a rendu un arrêt de principe en date du 2 octobre 2001 (n°</w:t>
      </w:r>
      <w:hyperlink r:id="rId11" w:tgtFrame="_blank" w:history="1">
        <w:r>
          <w:rPr>
            <w:rStyle w:val="Lienhypertexte"/>
          </w:rPr>
          <w:t>99-42942</w:t>
        </w:r>
      </w:hyperlink>
      <w:r>
        <w:t>), dit « Nikon », dans lequel elle distingue les courriers personnels du salarié de ceux professionnels. Sur le fondement des articles 8 de la Convention de sauvegarde des droits de l’homme et des libertés fondamentales et 9 du Code civil, elle énonce, notamment que « le salarié a droit, même au temps et au lieu de travail, au respect de l’intimité de sa vie privée ; que celle-ci implique en particulier le secret des correspondances ; que l’employeur ne peut, dès lors sans violation de cette liberté fondamentale, prendre connaissance des messages personnels émis par le salarié et reçus par lui grâce à un outil informatique mis à sa disposition pour son travail, et ceci même [dans le] cas où l’employeur aurait interdit une utilisation non professionnelle de l’ordinateur ».</w:t>
      </w:r>
    </w:p>
    <w:p w:rsidR="001E762C" w:rsidRDefault="001E762C" w:rsidP="001E762C">
      <w:pPr>
        <w:pStyle w:val="NormalWeb"/>
      </w:pPr>
      <w:r>
        <w:t>Cet attendu de principe pose plusieurs éléments : tout d’abord, la Cour de cassation tire du droit au respect de la vie privée l’existence du secret des correspondances au temps et au lieu de travail. Ensuite, elle énonce le principe selon lequel seuls les courriers qualifiés de personnels sont soumis au secret des correspondances, ce qui exclut du champ d’application du secret les courriers dits « professionnels ». Enfin, elle précise que le secret des correspondances personnelles ne peut pas être remis en cause, quand bien même l’employeur aurait interdit une utilisation personnelle de l’ordinateur. Le fait que le règlement intérieur d’une entreprise interdise une telle utilisation de son matériel informatique ne justifiera pas, par exemple, que l’employeur prenne connaissance du contenu d’un courrier électronique personnel du salarié.</w:t>
      </w:r>
      <w:r>
        <w:br/>
        <w:t>Cette solution a été réaffirmée par la chambre sociale de la Cour de cassation, dans un arrêt du 17 mai 2005 (n° </w:t>
      </w:r>
      <w:hyperlink r:id="rId12" w:tgtFrame="_blank" w:history="1">
        <w:r>
          <w:rPr>
            <w:rStyle w:val="Lienhypertexte"/>
          </w:rPr>
          <w:t>03-40017</w:t>
        </w:r>
      </w:hyperlink>
      <w:r>
        <w:t>). Toutefois, celle-ci est venue assouplir les conditions d’ouverture des documents personnels des salariés, en précisant que, « sauf risque ou événement particulier, l’employeur ne peut ouvrir les fichiers identifiés par le salarié comme personnels contenus sur le disque dur de l’ordinateur mis à sa disposition qu’en présence de ce dernier ou celui-ci dûment appelé ».</w:t>
      </w:r>
      <w:r>
        <w:br/>
        <w:t>Ce nouvel attendu de principe a trouvé application dans un arrêt de la chambre sociale de la Cour de cassation du 23 mai 2007 (n° </w:t>
      </w:r>
      <w:hyperlink r:id="rId13" w:tgtFrame="_blank" w:history="1">
        <w:r>
          <w:rPr>
            <w:rStyle w:val="Lienhypertexte"/>
          </w:rPr>
          <w:t>05-17818</w:t>
        </w:r>
      </w:hyperlink>
      <w:r>
        <w:t xml:space="preserve">). En effet, la Cour a cassé un arrêt d’appel qui avait annulé un procès-verbal d’huissier, ainsi que l’ordonnance du président d’un tribunal de grande instance ayant autorisé l’huissier de justice à accéder aux données contenues dans l’ordinateur mis par l’employeur à la disposition du salarié et à prendre connaissance des messages électroniques échangés par l’intéressé avec deux personnes identifiées. La Cour de cassation a estimé que l’employeur avait des motifs légitimes de suspecter des actes de </w:t>
      </w:r>
      <w:r>
        <w:lastRenderedPageBreak/>
        <w:t>concurrence déloyale et qu’il résultait de ses constatations que l’huissier avait rempli sa mission en présence du salarié.</w:t>
      </w:r>
    </w:p>
    <w:p w:rsidR="001E762C" w:rsidRDefault="001E762C" w:rsidP="001E762C">
      <w:pPr>
        <w:pStyle w:val="Titre2"/>
      </w:pPr>
      <w:r>
        <w:rPr>
          <w:rStyle w:val="lev"/>
          <w:b w:val="0"/>
          <w:bCs w:val="0"/>
        </w:rPr>
        <w:t>Une distinction malaisée</w:t>
      </w:r>
    </w:p>
    <w:p w:rsidR="001E762C" w:rsidRDefault="001E762C" w:rsidP="001E762C">
      <w:pPr>
        <w:pStyle w:val="NormalWeb"/>
      </w:pPr>
      <w:r>
        <w:t>En créant une distinction entre les courriers personnels et professionnels, l’arrêt « Nikon » de 2001 a contraint les juges du fond à définir ces catégories, ce qui a ouvert la voie à de nombreuses décisions divergentes.</w:t>
      </w:r>
    </w:p>
    <w:p w:rsidR="001E762C" w:rsidRDefault="001E762C" w:rsidP="001E762C">
      <w:pPr>
        <w:pStyle w:val="NormalWeb"/>
      </w:pPr>
      <w:r>
        <w:t>Ainsi, dans un arrêt du 1 </w:t>
      </w:r>
      <w:r>
        <w:rPr>
          <w:vertAlign w:val="superscript"/>
        </w:rPr>
        <w:t>er</w:t>
      </w:r>
      <w:r>
        <w:t> juillet 2003, la cour d’appel de Bordeaux a estimé que le courrier personnel constitue un message individualisé, qui n’est émis et reçu que du poste informatique du salarié. Cette définition a été fortement critiquée, car très extensive. Certes, le droit au respect de la vie privée du salarié est préservé, mais aucune place n’est laissée à la défense des intérêts de l’entreprise. Cette définition est directement inspirée de celle donnée par une circulaire du 17 février 1988, prise en application de l’article 43 de la loi n° 86-1067 du 30 septembre 1986 relative à la liberté de communication. Selon les termes de la circulaire, « il y a correspondance privée lorsque le message est exclusivement destiné à une [ou plusieurs] personne, physique ou morale, déterminée et individualisée ».</w:t>
      </w:r>
      <w:r>
        <w:br/>
        <w:t xml:space="preserve">La cour d’appel de Toulouse, dans un arrêt du 6 février 2003 appelé à déterminer la nature d’un message intitulé « mon neurone est en </w:t>
      </w:r>
      <w:proofErr w:type="spellStart"/>
      <w:r>
        <w:t>vakance</w:t>
      </w:r>
      <w:proofErr w:type="spellEnd"/>
      <w:r>
        <w:t> », a estimé que « par son thème faisant référence aux vacances, par la formulation familière utilisée et par son orthographe, le libellé de l’objet du message lui conférait d’évidence un caractère nécessairement et strictement privé et interdisait à un tiers, fût-il l’employeur, d’en prendre connaissance à l’insu de son expéditeur ». Ici, le juge du fond s’appuie sur l’objet du message et non sur la simple individualisation du message.</w:t>
      </w:r>
      <w:r>
        <w:br/>
        <w:t>Enfin, dans un arrêt du 2 avril 2003, la cour d’appel de Versailles a considéré, à l’instar de la Cour de cassation dans l’arrêt « Nikon », que les messages électroniques intégrés à un dossier du salarié intitulé « personnel » constituaient des courriers privés soumis au secret des correspondances.</w:t>
      </w:r>
      <w:r>
        <w:br/>
        <w:t>Face à ce manque de clarté et donc à cette insécurité juridique, la Cour de cassation, par l’intermédiaire de sa chambre sociale, est venue poser, dans un arrêt du 18 octobre 2006 (n° </w:t>
      </w:r>
      <w:hyperlink r:id="rId14" w:tgtFrame="_blank" w:history="1">
        <w:r>
          <w:rPr>
            <w:rStyle w:val="Lienhypertexte"/>
          </w:rPr>
          <w:t>04-48025</w:t>
        </w:r>
      </w:hyperlink>
      <w:r>
        <w:t>), le principe selon lequel « les dossiers et fichiers créés par un salarié grâce à l’outil informatique mis à sa disposition par son employeur pour l’exécution de son travail sont présumés, sauf si le salarié les identifie comme étant personnels, avoir un caractère professionnel ». La Cour de cassation a donc mis en place un système de présomption : tous les fichiers du salarié sont considérés comme professionnels, sauf si celui-ci a précisé leur nature personnelle.</w:t>
      </w:r>
      <w:r>
        <w:br/>
        <w:t>Le bulletin d’information n° 666 du 1 </w:t>
      </w:r>
      <w:r>
        <w:rPr>
          <w:vertAlign w:val="superscript"/>
        </w:rPr>
        <w:t>er</w:t>
      </w:r>
      <w:r>
        <w:t xml:space="preserve"> août 2007 de la Cour de cassation - et plus précisément l’avocat général Claude </w:t>
      </w:r>
      <w:proofErr w:type="spellStart"/>
      <w:r>
        <w:t>Mathon</w:t>
      </w:r>
      <w:proofErr w:type="spellEnd"/>
      <w:r>
        <w:t> - résume la jurisprudence de la chambre sociale de la manière suivante :</w:t>
      </w:r>
    </w:p>
    <w:p w:rsidR="001E762C" w:rsidRDefault="001E762C" w:rsidP="001E762C">
      <w:pPr>
        <w:numPr>
          <w:ilvl w:val="0"/>
          <w:numId w:val="2"/>
        </w:numPr>
        <w:spacing w:before="100" w:beforeAutospacing="1" w:after="100" w:afterAutospacing="1" w:line="240" w:lineRule="auto"/>
      </w:pPr>
      <w:r>
        <w:t>L’employeur ne peut, sans violation de la liberté fondamentale qu’est le respect de l’intimité de la vie privée, en particulier le secret des correspondances, prendre connaissance du courrier, virtuel ou non, émis ou reçu par le salarié, même dans le cas où l’employeur aurait interdit l’usage du courrier personnel dans l’entreprise.</w:t>
      </w:r>
    </w:p>
    <w:p w:rsidR="001E762C" w:rsidRDefault="001E762C" w:rsidP="001E762C">
      <w:pPr>
        <w:numPr>
          <w:ilvl w:val="0"/>
          <w:numId w:val="2"/>
        </w:numPr>
        <w:spacing w:before="100" w:beforeAutospacing="1" w:after="100" w:afterAutospacing="1" w:line="240" w:lineRule="auto"/>
      </w:pPr>
      <w:r>
        <w:t>Si le courrier est identifié comme étant personnel, l’employeur ne peut y accéder qu’en présence du salarié ou celui-ci dûment appelé, sauf risque ou événement particulier.</w:t>
      </w:r>
    </w:p>
    <w:p w:rsidR="001E762C" w:rsidRDefault="001E762C" w:rsidP="001E762C">
      <w:pPr>
        <w:numPr>
          <w:ilvl w:val="0"/>
          <w:numId w:val="2"/>
        </w:numPr>
        <w:spacing w:before="100" w:beforeAutospacing="1" w:after="100" w:afterAutospacing="1" w:line="240" w:lineRule="auto"/>
      </w:pPr>
      <w:r>
        <w:t xml:space="preserve">Si le courrier n’est pas identifié comme étant personnel, il peut être présumé avoir un caractère professionnel et l’employeur peut y avoir accès hors la présence du salarié. On peut ajouter que si ce dernier se trouve physiquement dans l’entreprise, il est préférable de </w:t>
      </w:r>
      <w:r>
        <w:lastRenderedPageBreak/>
        <w:t>le laisser procéder lui-même à l’ouverture du document. C’est surtout en son absence que la présomption doit jouer, car il est bien évident que l’entreprise a vocation à prendre connaissance du courrier qui lui est adressé.</w:t>
      </w:r>
    </w:p>
    <w:p w:rsidR="001E762C" w:rsidRDefault="001E762C" w:rsidP="001E762C">
      <w:pPr>
        <w:pStyle w:val="NormalWeb"/>
      </w:pPr>
      <w:r>
        <w:t> </w:t>
      </w:r>
    </w:p>
    <w:p w:rsidR="001E762C" w:rsidRDefault="001E762C" w:rsidP="001E762C">
      <w:pPr>
        <w:pStyle w:val="Titre2"/>
      </w:pPr>
      <w:r>
        <w:rPr>
          <w:rStyle w:val="lev"/>
          <w:b w:val="0"/>
          <w:bCs w:val="0"/>
        </w:rPr>
        <w:t>Les sanctions</w:t>
      </w:r>
      <w:r>
        <w:t> </w:t>
      </w:r>
      <w:r>
        <w:rPr>
          <w:rStyle w:val="lev"/>
          <w:b w:val="0"/>
          <w:bCs w:val="0"/>
        </w:rPr>
        <w:t>La loyauté de la preuve</w:t>
      </w:r>
    </w:p>
    <w:p w:rsidR="001E762C" w:rsidRDefault="001E762C" w:rsidP="001E762C">
      <w:pPr>
        <w:pStyle w:val="NormalWeb"/>
      </w:pPr>
      <w:r>
        <w:t>La première sanction de la violation du secret des correspondances consiste en ce que les messages personnels, produits par l’employeur à l’appui d’un licenciement ou d’une sanction disciplinaire du salarié, ne peuvent pas être retenus comme une preuve licite. En effet, l’article 9 du Code de procédure civile dispose « qu’il incombe à chaque partie de prouver conformément à la loi les faits nécessaires au succès de sa prétention ». Par conséquent, ce principe de loyauté de la preuve qui innerve la matière probatoire doit entraîner le rejet des preuves obtenues de manière déloyale, c’est-à-dire en violation d’une règle de droit telle que le droit au respect de la vie privée ou son corollaire, le secret des correspondances.</w:t>
      </w:r>
    </w:p>
    <w:p w:rsidR="001E762C" w:rsidRDefault="001E762C" w:rsidP="001E762C">
      <w:pPr>
        <w:pStyle w:val="NormalWeb"/>
      </w:pPr>
      <w:r>
        <w:t>Ainsi, la Cour de cassation a rappelé, dans son arrêt de chambre mixte du 18 mai 2007 (n° </w:t>
      </w:r>
      <w:hyperlink r:id="rId15" w:tgtFrame="_blank" w:history="1">
        <w:r>
          <w:rPr>
            <w:rStyle w:val="Lienhypertexte"/>
          </w:rPr>
          <w:t>05-40803</w:t>
        </w:r>
      </w:hyperlink>
      <w:r>
        <w:t xml:space="preserve">), que l’employeur peut ouvrir une correspondance postale de son salarié n’indiquant que son nom et son appartenance à la société, cependant, il ne peut pas </w:t>
      </w:r>
      <w:proofErr w:type="spellStart"/>
      <w:r>
        <w:t>a</w:t>
      </w:r>
      <w:proofErr w:type="spellEnd"/>
      <w:r>
        <w:t xml:space="preserve"> contrario invoquer son contenu pour fonder une sanction disciplinaire, dès lors que la correspondance à un caractère personnel.</w:t>
      </w:r>
    </w:p>
    <w:p w:rsidR="001E762C" w:rsidRDefault="001E762C" w:rsidP="001E762C">
      <w:pPr>
        <w:pStyle w:val="Titre2"/>
      </w:pPr>
      <w:r>
        <w:rPr>
          <w:rStyle w:val="lev"/>
          <w:b w:val="0"/>
          <w:bCs w:val="0"/>
        </w:rPr>
        <w:t>Les sanctions pénales</w:t>
      </w:r>
    </w:p>
    <w:p w:rsidR="001E762C" w:rsidRDefault="001E762C" w:rsidP="001E762C">
      <w:pPr>
        <w:pStyle w:val="NormalWeb"/>
      </w:pPr>
      <w:r>
        <w:t>Le secret des correspondances est protégé par la </w:t>
      </w:r>
      <w:hyperlink r:id="rId16" w:tgtFrame="_blank" w:history="1">
        <w:r>
          <w:rPr>
            <w:rStyle w:val="Lienhypertexte"/>
          </w:rPr>
          <w:t>loi n° 91-646 du 10 juillet 1991</w:t>
        </w:r>
      </w:hyperlink>
      <w:r>
        <w:t>. Aux termes de l’article 226-15 du Code pénal, « le fait, commis de mauvaise foi, d’ouvrir, de supprimer, de retarder ou de détourner des correspondances arrivées ou non à destination et adressées à des tiers, ou d’en prendre frauduleusement connaissance, est puni d’un an d’emprisonnement et de 45 000 euros d’amende. Est puni des mêmes peines le fait, commis de mauvaise foi, d’intercepter, de détourner, d’utiliser ou de divulguer des correspondances émises, transmises ou reçues par la voie des télécommunications ou de procéder à l’installation d’appareils conçus pour réaliser de telles interceptions. »</w:t>
      </w:r>
    </w:p>
    <w:p w:rsidR="001E762C" w:rsidRDefault="001E762C" w:rsidP="001E762C">
      <w:pPr>
        <w:pStyle w:val="NormalWeb"/>
      </w:pPr>
      <w:r>
        <w:t>La chambre criminelle de la Cour de cassation a jugé, par exemple, que la cour d’appel de Paris avait, « sans insuffisance ni contradiction, caractérisé en tous ses éléments, tant matériels qu’intentionnels, le délit de détournement de correspondance adressée à un tiers dont elle a déclaré le prévenu coupable, et ainsi justifié l’allocation [au profit de la plaignante, ndlr] de l’indemnité propre à réparer le préjudice en découlant » (3 octobre 2006, n° </w:t>
      </w:r>
      <w:hyperlink r:id="rId17" w:tgtFrame="_blank" w:history="1">
        <w:r>
          <w:rPr>
            <w:rStyle w:val="Lienhypertexte"/>
          </w:rPr>
          <w:t>05-85894</w:t>
        </w:r>
      </w:hyperlink>
      <w:r>
        <w:t>).</w:t>
      </w:r>
    </w:p>
    <w:p w:rsidR="001E762C" w:rsidRDefault="00061149">
      <w:r w:rsidRPr="00061149">
        <w:t>https://www.courdecassation.fr/jurisprudence_2/chambres_mixtes_2740/mathon_avocat_10473.html</w:t>
      </w:r>
    </w:p>
    <w:sectPr w:rsidR="001E7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F53B8"/>
    <w:multiLevelType w:val="multilevel"/>
    <w:tmpl w:val="F5DE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840BA"/>
    <w:multiLevelType w:val="multilevel"/>
    <w:tmpl w:val="B28C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05"/>
    <w:rsid w:val="00036B02"/>
    <w:rsid w:val="00061149"/>
    <w:rsid w:val="000A5C05"/>
    <w:rsid w:val="001E762C"/>
    <w:rsid w:val="00325B9B"/>
    <w:rsid w:val="00576768"/>
    <w:rsid w:val="005E12CD"/>
    <w:rsid w:val="00901332"/>
    <w:rsid w:val="00EC5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3B50A-93C6-4FB3-9EF2-32AEA062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A5C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E76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C5D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A5C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A5C05"/>
    <w:rPr>
      <w:color w:val="0000FF"/>
      <w:u w:val="single"/>
    </w:rPr>
  </w:style>
  <w:style w:type="character" w:styleId="lev">
    <w:name w:val="Strong"/>
    <w:basedOn w:val="Policepardfaut"/>
    <w:uiPriority w:val="22"/>
    <w:qFormat/>
    <w:rsid w:val="000A5C05"/>
    <w:rPr>
      <w:b/>
      <w:bCs/>
    </w:rPr>
  </w:style>
  <w:style w:type="character" w:styleId="Accentuation">
    <w:name w:val="Emphasis"/>
    <w:basedOn w:val="Policepardfaut"/>
    <w:uiPriority w:val="20"/>
    <w:qFormat/>
    <w:rsid w:val="000A5C05"/>
    <w:rPr>
      <w:i/>
      <w:iCs/>
    </w:rPr>
  </w:style>
  <w:style w:type="character" w:customStyle="1" w:styleId="Titre1Car">
    <w:name w:val="Titre 1 Car"/>
    <w:basedOn w:val="Policepardfaut"/>
    <w:link w:val="Titre1"/>
    <w:uiPriority w:val="9"/>
    <w:rsid w:val="000A5C0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1E762C"/>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EC5DAF"/>
    <w:rPr>
      <w:rFonts w:asciiTheme="majorHAnsi" w:eastAsiaTheme="majorEastAsia" w:hAnsiTheme="majorHAnsi" w:cstheme="majorBidi"/>
      <w:color w:val="1F4D78" w:themeColor="accent1" w:themeShade="7F"/>
      <w:sz w:val="24"/>
      <w:szCs w:val="24"/>
    </w:rPr>
  </w:style>
  <w:style w:type="paragraph" w:customStyle="1" w:styleId="lastp">
    <w:name w:val="lastp"/>
    <w:basedOn w:val="Normal"/>
    <w:rsid w:val="00EC5DA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3483">
      <w:bodyDiv w:val="1"/>
      <w:marLeft w:val="0"/>
      <w:marRight w:val="0"/>
      <w:marTop w:val="0"/>
      <w:marBottom w:val="0"/>
      <w:divBdr>
        <w:top w:val="none" w:sz="0" w:space="0" w:color="auto"/>
        <w:left w:val="none" w:sz="0" w:space="0" w:color="auto"/>
        <w:bottom w:val="none" w:sz="0" w:space="0" w:color="auto"/>
        <w:right w:val="none" w:sz="0" w:space="0" w:color="auto"/>
      </w:divBdr>
    </w:div>
    <w:div w:id="621964182">
      <w:bodyDiv w:val="1"/>
      <w:marLeft w:val="0"/>
      <w:marRight w:val="0"/>
      <w:marTop w:val="0"/>
      <w:marBottom w:val="0"/>
      <w:divBdr>
        <w:top w:val="none" w:sz="0" w:space="0" w:color="auto"/>
        <w:left w:val="none" w:sz="0" w:space="0" w:color="auto"/>
        <w:bottom w:val="none" w:sz="0" w:space="0" w:color="auto"/>
        <w:right w:val="none" w:sz="0" w:space="0" w:color="auto"/>
      </w:divBdr>
    </w:div>
    <w:div w:id="1250113726">
      <w:bodyDiv w:val="1"/>
      <w:marLeft w:val="0"/>
      <w:marRight w:val="0"/>
      <w:marTop w:val="0"/>
      <w:marBottom w:val="0"/>
      <w:divBdr>
        <w:top w:val="none" w:sz="0" w:space="0" w:color="auto"/>
        <w:left w:val="none" w:sz="0" w:space="0" w:color="auto"/>
        <w:bottom w:val="none" w:sz="0" w:space="0" w:color="auto"/>
        <w:right w:val="none" w:sz="0" w:space="0" w:color="auto"/>
      </w:divBdr>
      <w:divsChild>
        <w:div w:id="1276331235">
          <w:marLeft w:val="0"/>
          <w:marRight w:val="0"/>
          <w:marTop w:val="0"/>
          <w:marBottom w:val="0"/>
          <w:divBdr>
            <w:top w:val="none" w:sz="0" w:space="0" w:color="auto"/>
            <w:left w:val="none" w:sz="0" w:space="0" w:color="auto"/>
            <w:bottom w:val="none" w:sz="0" w:space="0" w:color="auto"/>
            <w:right w:val="none" w:sz="0" w:space="0" w:color="auto"/>
          </w:divBdr>
        </w:div>
      </w:divsChild>
    </w:div>
    <w:div w:id="17041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vocats.fr/space/carolevercheyregrard/content/cadres----incompatibilite-du-forfait-jours-et-des-horaires-predetermines_2815A54F-8369-454E-A326-69CAB7E57B6C" TargetMode="External"/><Relationship Id="rId13" Type="http://schemas.openxmlformats.org/officeDocument/2006/relationships/hyperlink" Target="http://www.legifrance.gouv.fr/affichJuriJudi.do?oldAction=rechJuriJudi&amp;idTexte=JURITEXT000017831305&amp;fastReqId=1410716367&amp;fastPos=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ocats.fr/space/carolevercheyregrard/content/cadres----incompatibilite-du-forfait-jours-et-des-horaires-predetermines_2815A54F-8369-454E-A326-69CAB7E57B6C" TargetMode="External"/><Relationship Id="rId12" Type="http://schemas.openxmlformats.org/officeDocument/2006/relationships/hyperlink" Target="http://www.legifrance.gouv.fr/affichJuriJudi.do?oldAction=rechJuriJudi&amp;idTexte=JURITEXT000007048803&amp;fastReqId=880298588&amp;fastPos=1" TargetMode="External"/><Relationship Id="rId17" Type="http://schemas.openxmlformats.org/officeDocument/2006/relationships/hyperlink" Target="http://www.legifrance.gouv.fr/affichJuriJudi.do?oldAction=rechJuriJudi&amp;idTexte=JURITEXT000007607770&amp;fastReqId=996676760&amp;fastPos=1" TargetMode="External"/><Relationship Id="rId2" Type="http://schemas.openxmlformats.org/officeDocument/2006/relationships/styles" Target="styles.xml"/><Relationship Id="rId16" Type="http://schemas.openxmlformats.org/officeDocument/2006/relationships/hyperlink" Target="http://www.legifrance.gouv.fr/affichTexte.do?cidTexte=LEGITEXT000006077780&amp;dateTexte=20101201" TargetMode="External"/><Relationship Id="rId1" Type="http://schemas.openxmlformats.org/officeDocument/2006/relationships/numbering" Target="numbering.xml"/><Relationship Id="rId6" Type="http://schemas.openxmlformats.org/officeDocument/2006/relationships/hyperlink" Target="http://www1.editions-tissot.fr/actualite/droit-du-travail-article.aspx?secteur=PME&amp;id_art=3433&amp;titre=Forfait+jours+en+l%E2%80%99absence+de+convention+individuelle+de+forfait+%3A+attention+travail+dissimul%C3%A9" TargetMode="External"/><Relationship Id="rId11" Type="http://schemas.openxmlformats.org/officeDocument/2006/relationships/hyperlink" Target="http://www.legifrance.gouv.fr/affichJuriJudi.do?oldAction=rechJuriJudi&amp;idTexte=JURITEXT000007046161&amp;fastReqId=1772370059&amp;fastPos=1" TargetMode="External"/><Relationship Id="rId5" Type="http://schemas.openxmlformats.org/officeDocument/2006/relationships/hyperlink" Target="http://www.village-justice.com/articles/Cadres-forfait-attention-regles,14342.html" TargetMode="External"/><Relationship Id="rId15" Type="http://schemas.openxmlformats.org/officeDocument/2006/relationships/hyperlink" Target="http://www.legifrance.gouv.fr/affichJuriJudi.do?oldAction=rechJuriJudi&amp;idTexte=JURITEXT000017849284&amp;fastReqId=236467152&amp;fastPos=1" TargetMode="External"/><Relationship Id="rId10" Type="http://schemas.openxmlformats.org/officeDocument/2006/relationships/hyperlink" Target="http://business.lesechos.fr/directions-ressources-humaines/partenaire/les-cadres-au-forfait-jours-autonomes-mais-responsables-9560.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france.gouv.fr/affichJuriJudi.do?oldAction=rechJuriJudi&amp;idTexte=JURITEXT000026986268&amp;fastReqId=266690153&amp;fastPos=1" TargetMode="External"/><Relationship Id="rId14" Type="http://schemas.openxmlformats.org/officeDocument/2006/relationships/hyperlink" Target="http://www.legifrance.gouv.fr/affichJuriJudi.do?oldAction=rechJuriJudi&amp;idTexte=JURITEXT000007054915&amp;fastReqId=1368869388&amp;fastPos=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2308</Words>
  <Characters>12696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6</cp:revision>
  <dcterms:created xsi:type="dcterms:W3CDTF">2015-07-18T19:21:00Z</dcterms:created>
  <dcterms:modified xsi:type="dcterms:W3CDTF">2015-07-19T09:06:00Z</dcterms:modified>
</cp:coreProperties>
</file>